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Чек-лист «50 метров от калитки школы»</w:t>
      </w:r>
    </w:p>
    <w:p>
      <w:pPr>
        <w:jc w:val="center"/>
      </w:pPr>
      <w:r>
        <w:rPr>
          <w:color w:val="555555"/>
          <w:sz w:val="22"/>
        </w:rPr>
        <w:t>14 элементов безопасности по ГОСТ и СП · для печати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5"/>
        <w:gridCol w:w="1995"/>
        <w:gridCol w:w="1995"/>
        <w:gridCol w:w="1995"/>
        <w:gridCol w:w="1995"/>
      </w:tblGrid>
      <w:tr>
        <w:tc>
          <w:tcPr>
            <w:tcW w:type="dxa" w:w="1995"/>
          </w:tcPr>
          <w:p>
            <w:r/>
            <w:r>
              <w:rPr>
                <w:b/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2"/>
              </w:rPr>
              <w:t>№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2"/>
              </w:rPr>
              <w:t>Элемент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2"/>
              </w:rPr>
              <w:t>Норматив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2"/>
              </w:rPr>
              <w:t>Расстояние/положение</w:t>
            </w:r>
          </w:p>
        </w:tc>
      </w:tr>
      <w:tr>
        <w:tc>
          <w:tcPr>
            <w:tcW w:type="dxa" w:w="1995"/>
          </w:tcPr>
          <w:p>
            <w:r/>
            <w:r>
              <w:rPr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1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Знак 1.23 «Дети» (повторный с табл. 8.2.1)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ГОСТ Р 52289-2019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20-30 м до участка в населённом пункте</w:t>
            </w:r>
          </w:p>
        </w:tc>
      </w:tr>
      <w:tr>
        <w:tc>
          <w:tcPr>
            <w:tcW w:type="dxa" w:w="1995"/>
          </w:tcPr>
          <w:p>
            <w:r/>
            <w:r>
              <w:rPr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2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Знак 5.19.1/5.19.2 «Пешеходный переход»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ГОСТ Р 52289-2019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по обе стороны от перехода</w:t>
            </w:r>
          </w:p>
        </w:tc>
      </w:tr>
      <w:tr>
        <w:tc>
          <w:tcPr>
            <w:tcW w:type="dxa" w:w="1995"/>
          </w:tcPr>
          <w:p>
            <w:r/>
            <w:r>
              <w:rPr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3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Разметка 1.14.1 «Зебра»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ГОСТ Р 51256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на проезжей части пешеходного перехода</w:t>
            </w:r>
          </w:p>
        </w:tc>
      </w:tr>
      <w:tr>
        <w:tc>
          <w:tcPr>
            <w:tcW w:type="dxa" w:w="1995"/>
          </w:tcPr>
          <w:p>
            <w:r/>
            <w:r>
              <w:rPr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4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Знак 1.17 «Искусственная неровность»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ГОСТ Р 52289-2019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за 50-100 м до ИДН в населённом пункте</w:t>
            </w:r>
          </w:p>
        </w:tc>
      </w:tr>
      <w:tr>
        <w:tc>
          <w:tcPr>
            <w:tcW w:type="dxa" w:w="1995"/>
          </w:tcPr>
          <w:p>
            <w:r/>
            <w:r>
              <w:rPr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5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Знак 5.20 «Искусственная неровность»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ГОСТ Р 52289-2019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у самого ИДН</w:t>
            </w:r>
          </w:p>
        </w:tc>
      </w:tr>
      <w:tr>
        <w:tc>
          <w:tcPr>
            <w:tcW w:type="dxa" w:w="1995"/>
          </w:tcPr>
          <w:p>
            <w:r/>
            <w:r>
              <w:rPr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6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Знак 3.24 «Ограничение 40»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ГОСТ Р 52289-2019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на одной опоре с 5.20</w:t>
            </w:r>
          </w:p>
        </w:tc>
      </w:tr>
      <w:tr>
        <w:tc>
          <w:tcPr>
            <w:tcW w:type="dxa" w:w="1995"/>
          </w:tcPr>
          <w:p>
            <w:r/>
            <w:r>
              <w:rPr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7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ИДН-500 (комплект на ширину проезда)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ГОСТ Р 52605-2006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за 10-15 м до пешеходного перехода</w:t>
            </w:r>
          </w:p>
        </w:tc>
      </w:tr>
      <w:tr>
        <w:tc>
          <w:tcPr>
            <w:tcW w:type="dxa" w:w="1995"/>
          </w:tcPr>
          <w:p>
            <w:r/>
            <w:r>
              <w:rPr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8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Разметка 1.25 (поперечные «шашечки»)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ГОСТ Р 51256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на самом ИДН</w:t>
            </w:r>
          </w:p>
        </w:tc>
      </w:tr>
      <w:tr>
        <w:tc>
          <w:tcPr>
            <w:tcW w:type="dxa" w:w="1995"/>
          </w:tcPr>
          <w:p>
            <w:r/>
            <w:r>
              <w:rPr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9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Световозвращатели на ИДН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ГОСТ Р 52605-2006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не менее 15% площади</w:t>
            </w:r>
          </w:p>
        </w:tc>
      </w:tr>
      <w:tr>
        <w:tc>
          <w:tcPr>
            <w:tcW w:type="dxa" w:w="1995"/>
          </w:tcPr>
          <w:p>
            <w:r/>
            <w:r>
              <w:rPr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10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Пешеходное ограждение перильного типа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ГОСТ Р 52766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у входа на школьную территорию</w:t>
            </w:r>
          </w:p>
        </w:tc>
      </w:tr>
      <w:tr>
        <w:tc>
          <w:tcPr>
            <w:tcW w:type="dxa" w:w="1995"/>
          </w:tcPr>
          <w:p>
            <w:r/>
            <w:r>
              <w:rPr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11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Освещение (не менее 10 люкс)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СП 396.1325800.2018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над пешеходным переходом и ИДН</w:t>
            </w:r>
          </w:p>
        </w:tc>
      </w:tr>
      <w:tr>
        <w:tc>
          <w:tcPr>
            <w:tcW w:type="dxa" w:w="1995"/>
          </w:tcPr>
          <w:p>
            <w:r/>
            <w:r>
              <w:rPr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12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Знак 1.20.1-1.20.3 «Сужение дороги» (если есть)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ГОСТ Р 52289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за 50-100 м</w:t>
            </w:r>
          </w:p>
        </w:tc>
      </w:tr>
      <w:tr>
        <w:tc>
          <w:tcPr>
            <w:tcW w:type="dxa" w:w="1995"/>
          </w:tcPr>
          <w:p>
            <w:r/>
            <w:r>
              <w:rPr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13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Антипарковочные столбики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СП 396.1325800.2018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вдоль тротуара у школы</w:t>
            </w:r>
          </w:p>
        </w:tc>
      </w:tr>
      <w:tr>
        <w:tc>
          <w:tcPr>
            <w:tcW w:type="dxa" w:w="1995"/>
          </w:tcPr>
          <w:p>
            <w:r/>
            <w:r>
              <w:rPr>
                <w:sz w:val="22"/>
              </w:rPr>
              <w:t>☐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14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Велодорожка/велопарковка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СП 396.1325800.2018</w:t>
            </w:r>
          </w:p>
        </w:tc>
        <w:tc>
          <w:tcPr>
            <w:tcW w:type="dxa" w:w="1995"/>
          </w:tcPr>
          <w:p>
            <w:r/>
            <w:r>
              <w:rPr>
                <w:sz w:val="22"/>
              </w:rPr>
              <w:t>на школьной территории если есть</w:t>
            </w:r>
          </w:p>
        </w:tc>
      </w:tr>
    </w:tbl>
    <w:p/>
    <w:p>
      <w:r>
        <w:rPr>
          <w:b w:val="0"/>
          <w:i w:val="0"/>
          <w:sz w:val="22"/>
        </w:rPr>
        <w:t>Распечатать и пройти по территории с рулеткой (30-40 минут). Если хотя бы один элемент отсутствует — зона не соответствует нормативам.</w:t>
      </w:r>
    </w:p>
    <w:p/>
    <w:p>
      <w:pPr>
        <w:pBdr>
          <w:bottom w:val="single" w:sz="6" w:space="1" w:color="EE7B1E"/>
        </w:pBdr>
      </w:pPr>
    </w:p>
    <w:p>
      <w:pPr>
        <w:jc w:val="center"/>
      </w:pPr>
      <w:r>
        <w:rPr>
          <w:b/>
          <w:sz w:val="22"/>
        </w:rPr>
        <w:t>ООО «ПК Мегаполис», производство дорожной инфраструктуры, Ярославль</w:t>
      </w:r>
    </w:p>
    <w:p>
      <w:pPr>
        <w:jc w:val="center"/>
      </w:pPr>
      <w:r>
        <w:rPr>
          <w:sz w:val="22"/>
        </w:rPr>
        <w:t>Телефон: +7 (4852) 700-494,  8 (499) 408-43-32</w:t>
      </w:r>
    </w:p>
    <w:p>
      <w:pPr>
        <w:jc w:val="center"/>
      </w:pPr>
      <w:r>
        <w:rPr>
          <w:color w:val="333333"/>
          <w:sz w:val="22"/>
        </w:rPr>
        <w:t>Email: zakaz@pkmegapolis.ru     Сайт: pkmegapolis.ru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